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E578" w14:textId="28D034DA" w:rsidR="00FC16A9" w:rsidRDefault="00922F7E" w:rsidP="00FC16A9">
      <w:pPr>
        <w:spacing w:after="0"/>
        <w:textAlignment w:val="baseline"/>
        <w:rPr>
          <w:rFonts w:asciiTheme="minorHAnsi" w:hAnsiTheme="minorHAnsi" w:cs="Arial"/>
          <w:bCs/>
          <w:sz w:val="12"/>
          <w:szCs w:val="12"/>
        </w:rPr>
      </w:pPr>
      <w:r>
        <w:rPr>
          <w:rFonts w:asciiTheme="minorHAnsi" w:hAnsiTheme="minorHAnsi" w:cs="Arial"/>
          <w:bCs/>
          <w:sz w:val="12"/>
          <w:szCs w:val="12"/>
        </w:rPr>
        <w:t xml:space="preserve"> </w:t>
      </w:r>
      <w:r w:rsidR="00410FDD">
        <w:rPr>
          <w:rFonts w:asciiTheme="minorHAnsi" w:hAnsiTheme="minorHAnsi" w:cs="Arial"/>
          <w:bCs/>
          <w:sz w:val="12"/>
          <w:szCs w:val="12"/>
        </w:rPr>
        <w:t xml:space="preserve"> </w:t>
      </w:r>
    </w:p>
    <w:p w14:paraId="5D09B89C" w14:textId="049490DE" w:rsidR="00FC16A9" w:rsidRDefault="00D74B68" w:rsidP="00FC16A9">
      <w:pPr>
        <w:spacing w:after="0"/>
        <w:textAlignment w:val="baseline"/>
        <w:rPr>
          <w:rFonts w:asciiTheme="minorHAnsi" w:hAnsiTheme="minorHAnsi" w:cs="Arial"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65217" wp14:editId="0C89F4FA">
                <wp:simplePos x="0" y="0"/>
                <wp:positionH relativeFrom="column">
                  <wp:posOffset>22860</wp:posOffset>
                </wp:positionH>
                <wp:positionV relativeFrom="paragraph">
                  <wp:posOffset>2725420</wp:posOffset>
                </wp:positionV>
                <wp:extent cx="2947670" cy="63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652A9" w14:textId="6048C881" w:rsidR="00D74B68" w:rsidRPr="00577FCC" w:rsidRDefault="00D74B68" w:rsidP="00D74B68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Laurence Maillard </w:t>
                            </w:r>
                            <w:proofErr w:type="spellStart"/>
                            <w:r w:rsidR="0094217E">
                              <w:t>Nourrissier</w:t>
                            </w:r>
                            <w:proofErr w:type="spellEnd"/>
                            <w:r w:rsidR="0094217E">
                              <w:t xml:space="preserve">, </w:t>
                            </w:r>
                            <w:r w:rsidR="0094217E" w:rsidRPr="00251EDC">
                              <w:t>Sophie</w:t>
                            </w:r>
                            <w:r w:rsidRPr="00251EDC">
                              <w:t xml:space="preserve"> Garcia</w:t>
                            </w:r>
                            <w:r w:rsidR="00086CCD">
                              <w:t xml:space="preserve"> et </w:t>
                            </w:r>
                            <w:r w:rsidR="00086CCD" w:rsidRPr="00251EDC">
                              <w:t>Sandrine Boucherie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652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8pt;margin-top:214.6pt;width:232.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" stroked="f">
                <v:textbox style="mso-fit-shape-to-text:t" inset="0,0,0,0">
                  <w:txbxContent>
                    <w:p w14:paraId="7BF652A9" w14:textId="6048C881" w:rsidR="00D74B68" w:rsidRPr="00577FCC" w:rsidRDefault="00D74B68" w:rsidP="00D74B68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Laurence Maillard </w:t>
                      </w:r>
                      <w:proofErr w:type="spellStart"/>
                      <w:r w:rsidR="0094217E">
                        <w:t>Nourrissier</w:t>
                      </w:r>
                      <w:proofErr w:type="spellEnd"/>
                      <w:r w:rsidR="0094217E">
                        <w:t xml:space="preserve">, </w:t>
                      </w:r>
                      <w:r w:rsidR="0094217E" w:rsidRPr="00251EDC">
                        <w:t>Sophie</w:t>
                      </w:r>
                      <w:r w:rsidRPr="00251EDC">
                        <w:t xml:space="preserve"> Garcia</w:t>
                      </w:r>
                      <w:r w:rsidR="00086CCD">
                        <w:t xml:space="preserve"> et </w:t>
                      </w:r>
                      <w:r w:rsidR="00086CCD" w:rsidRPr="00251EDC">
                        <w:t>Sandrine Boucherie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C29">
        <w:rPr>
          <w:noProof/>
        </w:rPr>
        <w:drawing>
          <wp:anchor distT="0" distB="0" distL="114300" distR="114300" simplePos="0" relativeHeight="251658240" behindDoc="0" locked="0" layoutInCell="1" allowOverlap="1" wp14:anchorId="11FE4D79" wp14:editId="0615EEAA">
            <wp:simplePos x="0" y="0"/>
            <wp:positionH relativeFrom="column">
              <wp:posOffset>23199</wp:posOffset>
            </wp:positionH>
            <wp:positionV relativeFrom="paragraph">
              <wp:posOffset>57785</wp:posOffset>
            </wp:positionV>
            <wp:extent cx="2947670" cy="2610485"/>
            <wp:effectExtent l="0" t="0" r="508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8"/>
                    <a:stretch/>
                  </pic:blipFill>
                  <pic:spPr bwMode="auto">
                    <a:xfrm>
                      <a:off x="0" y="0"/>
                      <a:ext cx="294767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D0E2AA" w14:textId="70CB593A" w:rsidR="00B67071" w:rsidRDefault="00B67071" w:rsidP="00FC16A9">
      <w:pPr>
        <w:spacing w:after="0"/>
        <w:textAlignment w:val="baseline"/>
        <w:rPr>
          <w:rFonts w:asciiTheme="minorHAnsi" w:hAnsiTheme="minorHAnsi" w:cs="Arial"/>
          <w:bCs/>
          <w:sz w:val="12"/>
          <w:szCs w:val="12"/>
        </w:rPr>
      </w:pPr>
    </w:p>
    <w:p w14:paraId="02851AEE" w14:textId="65066B51" w:rsidR="003E019D" w:rsidRDefault="003E019D" w:rsidP="00FC16A9">
      <w:pPr>
        <w:spacing w:after="0"/>
        <w:textAlignment w:val="baseline"/>
        <w:rPr>
          <w:rFonts w:asciiTheme="minorHAnsi" w:hAnsiTheme="minorHAnsi" w:cs="Arial"/>
          <w:bCs/>
          <w:sz w:val="12"/>
          <w:szCs w:val="12"/>
        </w:rPr>
      </w:pPr>
    </w:p>
    <w:p w14:paraId="1BD4905A" w14:textId="77777777" w:rsidR="0094217E" w:rsidRDefault="00562C29" w:rsidP="00FA3D01">
      <w:pPr>
        <w:spacing w:after="0"/>
        <w:jc w:val="center"/>
        <w:textAlignment w:val="baseline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Réalisation </w:t>
      </w:r>
      <w:r w:rsidR="0047714F">
        <w:rPr>
          <w:rFonts w:asciiTheme="minorHAnsi" w:hAnsiTheme="minorHAnsi" w:cs="Arial"/>
          <w:b/>
          <w:sz w:val="28"/>
          <w:szCs w:val="28"/>
        </w:rPr>
        <w:t>des</w:t>
      </w:r>
      <w:r>
        <w:rPr>
          <w:rFonts w:asciiTheme="minorHAnsi" w:hAnsiTheme="minorHAnsi" w:cs="Arial"/>
          <w:b/>
          <w:sz w:val="28"/>
          <w:szCs w:val="28"/>
        </w:rPr>
        <w:t xml:space="preserve"> vidéo</w:t>
      </w:r>
      <w:r w:rsidR="0047714F">
        <w:rPr>
          <w:rFonts w:asciiTheme="minorHAnsi" w:hAnsiTheme="minorHAnsi" w:cs="Arial"/>
          <w:b/>
          <w:sz w:val="28"/>
          <w:szCs w:val="28"/>
        </w:rPr>
        <w:t>s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12DFBC23" w14:textId="77777777" w:rsidR="0094217E" w:rsidRDefault="00097F9B" w:rsidP="00FA3D01">
      <w:pPr>
        <w:spacing w:after="0"/>
        <w:jc w:val="center"/>
        <w:textAlignment w:val="baseline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découverte </w:t>
      </w:r>
      <w:r w:rsidR="00562C29">
        <w:rPr>
          <w:rFonts w:asciiTheme="minorHAnsi" w:hAnsiTheme="minorHAnsi" w:cs="Arial"/>
          <w:b/>
          <w:sz w:val="28"/>
          <w:szCs w:val="28"/>
        </w:rPr>
        <w:t xml:space="preserve">de Saint-Malo </w:t>
      </w:r>
    </w:p>
    <w:p w14:paraId="35E7CEE0" w14:textId="44B29A8C" w:rsidR="00642E12" w:rsidRDefault="00562C29" w:rsidP="00FA3D01">
      <w:pPr>
        <w:spacing w:after="0"/>
        <w:jc w:val="center"/>
        <w:textAlignment w:val="baseline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en Langue des Signes Française (LSF)</w:t>
      </w:r>
    </w:p>
    <w:p w14:paraId="00035F68" w14:textId="40DC3226" w:rsidR="0069728B" w:rsidRPr="0069728B" w:rsidRDefault="0069728B" w:rsidP="0069728B">
      <w:pPr>
        <w:tabs>
          <w:tab w:val="left" w:pos="6000"/>
        </w:tabs>
        <w:spacing w:after="0"/>
        <w:jc w:val="both"/>
        <w:rPr>
          <w:rFonts w:asciiTheme="minorHAnsi" w:eastAsia="Times New Roman" w:hAnsiTheme="minorHAnsi" w:cs="Arial"/>
          <w:lang w:eastAsia="fr-FR"/>
        </w:rPr>
      </w:pPr>
    </w:p>
    <w:p w14:paraId="7F55456F" w14:textId="70614069" w:rsidR="0069728B" w:rsidRPr="0069728B" w:rsidRDefault="0069728B" w:rsidP="0069728B">
      <w:pPr>
        <w:tabs>
          <w:tab w:val="left" w:pos="6000"/>
        </w:tabs>
        <w:spacing w:after="0"/>
        <w:jc w:val="both"/>
        <w:rPr>
          <w:rFonts w:asciiTheme="minorHAnsi" w:eastAsia="Times New Roman" w:hAnsiTheme="minorHAnsi" w:cs="Arial"/>
          <w:lang w:eastAsia="fr-FR"/>
        </w:rPr>
      </w:pPr>
      <w:r w:rsidRPr="0069728B">
        <w:rPr>
          <w:rFonts w:asciiTheme="minorHAnsi" w:eastAsia="Times New Roman" w:hAnsiTheme="minorHAnsi" w:cs="Arial"/>
          <w:lang w:eastAsia="fr-FR"/>
        </w:rPr>
        <w:t xml:space="preserve">Destination Saint-Malo Baie du Mont-Saint-Michel et l'association Culture Signe ont réalisé plusieurs vidéos en </w:t>
      </w:r>
      <w:r w:rsidR="00562C29">
        <w:rPr>
          <w:rFonts w:asciiTheme="minorHAnsi" w:eastAsia="Times New Roman" w:hAnsiTheme="minorHAnsi" w:cs="Arial"/>
          <w:lang w:eastAsia="fr-FR"/>
        </w:rPr>
        <w:t>LSF</w:t>
      </w:r>
      <w:r w:rsidRPr="0069728B">
        <w:rPr>
          <w:rFonts w:asciiTheme="minorHAnsi" w:eastAsia="Times New Roman" w:hAnsiTheme="minorHAnsi" w:cs="Arial"/>
          <w:lang w:eastAsia="fr-FR"/>
        </w:rPr>
        <w:t xml:space="preserve"> </w:t>
      </w:r>
      <w:r w:rsidR="00562C29">
        <w:rPr>
          <w:rFonts w:asciiTheme="minorHAnsi" w:eastAsia="Times New Roman" w:hAnsiTheme="minorHAnsi" w:cs="Arial"/>
          <w:lang w:eastAsia="fr-FR"/>
        </w:rPr>
        <w:t>pour les</w:t>
      </w:r>
      <w:r w:rsidRPr="0069728B">
        <w:rPr>
          <w:rFonts w:asciiTheme="minorHAnsi" w:eastAsia="Times New Roman" w:hAnsiTheme="minorHAnsi" w:cs="Arial"/>
          <w:lang w:eastAsia="fr-FR"/>
        </w:rPr>
        <w:t xml:space="preserve"> personnes sourdes et malentendantes : un nouveau support désormais en ligne pour découvrir </w:t>
      </w:r>
      <w:r w:rsidR="0047714F">
        <w:rPr>
          <w:rFonts w:asciiTheme="minorHAnsi" w:eastAsia="Times New Roman" w:hAnsiTheme="minorHAnsi" w:cs="Arial"/>
          <w:lang w:eastAsia="fr-FR"/>
        </w:rPr>
        <w:t>Saint-Malo.</w:t>
      </w:r>
    </w:p>
    <w:p w14:paraId="4C23445E" w14:textId="6167FD5B" w:rsidR="003E019D" w:rsidRDefault="003E019D" w:rsidP="00871B93">
      <w:pPr>
        <w:spacing w:line="240" w:lineRule="auto"/>
        <w:rPr>
          <w:rFonts w:asciiTheme="minorHAnsi" w:hAnsiTheme="minorHAnsi"/>
          <w:color w:val="747577"/>
          <w:sz w:val="12"/>
          <w:szCs w:val="12"/>
        </w:rPr>
      </w:pPr>
    </w:p>
    <w:p w14:paraId="6D6F709C" w14:textId="674007BB" w:rsidR="00D74B68" w:rsidRDefault="00D74B68" w:rsidP="00871B93">
      <w:pPr>
        <w:spacing w:line="240" w:lineRule="auto"/>
        <w:rPr>
          <w:rFonts w:asciiTheme="minorHAnsi" w:hAnsiTheme="minorHAnsi"/>
          <w:color w:val="747577"/>
          <w:sz w:val="12"/>
          <w:szCs w:val="12"/>
        </w:rPr>
      </w:pPr>
    </w:p>
    <w:p w14:paraId="1E7582E7" w14:textId="77777777" w:rsidR="00D74B68" w:rsidRPr="00871B93" w:rsidRDefault="00D74B68" w:rsidP="00871B93">
      <w:pPr>
        <w:spacing w:line="240" w:lineRule="auto"/>
        <w:rPr>
          <w:rFonts w:asciiTheme="minorHAnsi" w:hAnsiTheme="minorHAnsi"/>
          <w:color w:val="747577"/>
          <w:sz w:val="12"/>
          <w:szCs w:val="12"/>
        </w:rPr>
      </w:pPr>
    </w:p>
    <w:p w14:paraId="59350310" w14:textId="483C05DB" w:rsidR="00A3430D" w:rsidRPr="00B67071" w:rsidRDefault="00562C29" w:rsidP="00110DE3">
      <w:pPr>
        <w:shd w:val="clear" w:color="auto" w:fill="000000" w:themeFill="text1"/>
        <w:tabs>
          <w:tab w:val="left" w:pos="3765"/>
        </w:tabs>
        <w:spacing w:line="240" w:lineRule="auto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 xml:space="preserve">L’engagement de </w:t>
      </w:r>
      <w:r w:rsidR="0047714F">
        <w:rPr>
          <w:b/>
          <w:color w:val="FFFFFF" w:themeColor="background1"/>
          <w:sz w:val="26"/>
          <w:szCs w:val="26"/>
        </w:rPr>
        <w:t>Destination Saint-Malo Baie du Mont-Saint-Michel</w:t>
      </w:r>
    </w:p>
    <w:p w14:paraId="24988E10" w14:textId="42F5F1FF" w:rsidR="00562C29" w:rsidRDefault="0047714F" w:rsidP="00562C29">
      <w:pPr>
        <w:tabs>
          <w:tab w:val="left" w:pos="6000"/>
        </w:tabs>
        <w:spacing w:after="0"/>
        <w:jc w:val="both"/>
        <w:rPr>
          <w:rFonts w:asciiTheme="minorHAnsi" w:eastAsia="Times New Roman" w:hAnsiTheme="minorHAnsi" w:cs="Arial"/>
          <w:lang w:eastAsia="fr-FR"/>
        </w:rPr>
      </w:pPr>
      <w:r>
        <w:rPr>
          <w:rFonts w:ascii="Museo Sans 500" w:hAnsi="Museo Sans 500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8034A28" wp14:editId="7D52984B">
            <wp:simplePos x="0" y="0"/>
            <wp:positionH relativeFrom="column">
              <wp:posOffset>3972</wp:posOffset>
            </wp:positionH>
            <wp:positionV relativeFrom="paragraph">
              <wp:posOffset>2363</wp:posOffset>
            </wp:positionV>
            <wp:extent cx="1361704" cy="1404000"/>
            <wp:effectExtent l="0" t="0" r="0" b="5715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704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C29" w:rsidRPr="00562C29">
        <w:rPr>
          <w:rFonts w:asciiTheme="minorHAnsi" w:eastAsia="Times New Roman" w:hAnsiTheme="minorHAnsi" w:cs="Arial"/>
          <w:lang w:eastAsia="fr-FR"/>
        </w:rPr>
        <w:t>L'Office de Tourisme de Saint-Malo</w:t>
      </w:r>
      <w:r>
        <w:rPr>
          <w:rFonts w:asciiTheme="minorHAnsi" w:eastAsia="Times New Roman" w:hAnsiTheme="minorHAnsi" w:cs="Arial"/>
          <w:lang w:eastAsia="fr-FR"/>
        </w:rPr>
        <w:t>,</w:t>
      </w:r>
      <w:r w:rsidR="00562C29" w:rsidRPr="00562C29">
        <w:rPr>
          <w:rFonts w:asciiTheme="minorHAnsi" w:eastAsia="Times New Roman" w:hAnsiTheme="minorHAnsi" w:cs="Arial"/>
          <w:lang w:eastAsia="fr-FR"/>
        </w:rPr>
        <w:t xml:space="preserve"> marqué Tourisme &amp; Handicap depuis 2015</w:t>
      </w:r>
      <w:r>
        <w:rPr>
          <w:rFonts w:asciiTheme="minorHAnsi" w:eastAsia="Times New Roman" w:hAnsiTheme="minorHAnsi" w:cs="Arial"/>
          <w:lang w:eastAsia="fr-FR"/>
        </w:rPr>
        <w:t>,</w:t>
      </w:r>
      <w:r w:rsidR="00562C29" w:rsidRPr="00562C29">
        <w:rPr>
          <w:rFonts w:asciiTheme="minorHAnsi" w:eastAsia="Times New Roman" w:hAnsiTheme="minorHAnsi" w:cs="Arial"/>
          <w:lang w:eastAsia="fr-FR"/>
        </w:rPr>
        <w:t xml:space="preserve"> propose différents outils et équipements pour tous. Afin de toucher tous les publics, </w:t>
      </w:r>
      <w:r w:rsidR="00562C29">
        <w:rPr>
          <w:rFonts w:asciiTheme="minorHAnsi" w:eastAsia="Times New Roman" w:hAnsiTheme="minorHAnsi" w:cs="Arial"/>
          <w:lang w:eastAsia="fr-FR"/>
        </w:rPr>
        <w:t>la structure</w:t>
      </w:r>
      <w:r w:rsidR="00562C29" w:rsidRPr="00562C29">
        <w:rPr>
          <w:rFonts w:asciiTheme="minorHAnsi" w:eastAsia="Times New Roman" w:hAnsiTheme="minorHAnsi" w:cs="Arial"/>
          <w:lang w:eastAsia="fr-FR"/>
        </w:rPr>
        <w:t xml:space="preserve"> développe </w:t>
      </w:r>
      <w:r>
        <w:rPr>
          <w:rFonts w:asciiTheme="minorHAnsi" w:eastAsia="Times New Roman" w:hAnsiTheme="minorHAnsi" w:cs="Arial"/>
          <w:lang w:eastAsia="fr-FR"/>
        </w:rPr>
        <w:t>des</w:t>
      </w:r>
      <w:r w:rsidR="00562C29" w:rsidRPr="00562C29">
        <w:rPr>
          <w:rFonts w:asciiTheme="minorHAnsi" w:eastAsia="Times New Roman" w:hAnsiTheme="minorHAnsi" w:cs="Arial"/>
          <w:lang w:eastAsia="fr-FR"/>
        </w:rPr>
        <w:t xml:space="preserve"> supports tous publics selon le type de handicap : livrets tactiles et en braille, livrets en gros caractères, Livret Facile À Lire et à Comprendre (F.A.L.C.), parcours de visites accessibles...</w:t>
      </w:r>
    </w:p>
    <w:p w14:paraId="246825AE" w14:textId="64A96D21" w:rsidR="0047714F" w:rsidRDefault="0047714F" w:rsidP="00562C29">
      <w:pPr>
        <w:tabs>
          <w:tab w:val="left" w:pos="6000"/>
        </w:tabs>
        <w:spacing w:after="0"/>
        <w:jc w:val="both"/>
        <w:rPr>
          <w:rFonts w:asciiTheme="minorHAnsi" w:eastAsia="Times New Roman" w:hAnsiTheme="minorHAnsi" w:cs="Arial"/>
          <w:lang w:eastAsia="fr-FR"/>
        </w:rPr>
      </w:pPr>
    </w:p>
    <w:p w14:paraId="52CC7CCE" w14:textId="77777777" w:rsidR="0047714F" w:rsidRPr="00562C29" w:rsidRDefault="0047714F" w:rsidP="00562C29">
      <w:pPr>
        <w:tabs>
          <w:tab w:val="left" w:pos="6000"/>
        </w:tabs>
        <w:spacing w:after="0"/>
        <w:jc w:val="both"/>
        <w:rPr>
          <w:rFonts w:asciiTheme="minorHAnsi" w:eastAsia="Times New Roman" w:hAnsiTheme="minorHAnsi" w:cs="Arial"/>
          <w:lang w:eastAsia="fr-FR"/>
        </w:rPr>
      </w:pPr>
    </w:p>
    <w:p w14:paraId="05522F67" w14:textId="77777777" w:rsidR="0047714F" w:rsidRDefault="00562C29" w:rsidP="0047714F">
      <w:pPr>
        <w:tabs>
          <w:tab w:val="left" w:pos="6000"/>
        </w:tabs>
        <w:spacing w:after="0"/>
        <w:jc w:val="both"/>
        <w:rPr>
          <w:rFonts w:asciiTheme="minorHAnsi" w:eastAsia="Times New Roman" w:hAnsiTheme="minorHAnsi" w:cs="Arial"/>
          <w:lang w:eastAsia="fr-FR"/>
        </w:rPr>
      </w:pPr>
      <w:r w:rsidRPr="00562C29">
        <w:rPr>
          <w:rFonts w:asciiTheme="minorHAnsi" w:eastAsia="Times New Roman" w:hAnsiTheme="minorHAnsi" w:cs="Arial"/>
          <w:lang w:eastAsia="fr-FR"/>
        </w:rPr>
        <w:t xml:space="preserve">Afin de compléter l'offre spécifiquement pour les personnes en situation de handicap auditif, </w:t>
      </w:r>
      <w:r w:rsidR="00D74B68">
        <w:rPr>
          <w:rFonts w:asciiTheme="minorHAnsi" w:eastAsia="Times New Roman" w:hAnsiTheme="minorHAnsi" w:cs="Arial"/>
          <w:lang w:eastAsia="fr-FR"/>
        </w:rPr>
        <w:t xml:space="preserve">des </w:t>
      </w:r>
      <w:r w:rsidRPr="00562C29">
        <w:rPr>
          <w:rFonts w:asciiTheme="minorHAnsi" w:eastAsia="Times New Roman" w:hAnsiTheme="minorHAnsi" w:cs="Arial"/>
          <w:lang w:eastAsia="fr-FR"/>
        </w:rPr>
        <w:t>vidéos en Langue des Signes Française (LSF) ont été réalisées avec le concours de l’association malouine Culture Signe.</w:t>
      </w:r>
      <w:r w:rsidR="0047714F">
        <w:rPr>
          <w:rFonts w:asciiTheme="minorHAnsi" w:eastAsia="Times New Roman" w:hAnsiTheme="minorHAnsi" w:cs="Arial"/>
          <w:lang w:eastAsia="fr-FR"/>
        </w:rPr>
        <w:t xml:space="preserve">  </w:t>
      </w:r>
      <w:r w:rsidRPr="00562C29">
        <w:rPr>
          <w:rFonts w:asciiTheme="minorHAnsi" w:eastAsia="Times New Roman" w:hAnsiTheme="minorHAnsi" w:cs="Arial"/>
          <w:lang w:eastAsia="fr-FR"/>
        </w:rPr>
        <w:t xml:space="preserve">Membres de la Commission Accessibilité de la Ville de Saint-Malo, les 2 entités ont décidé de développer leur partenariat en créant 21 vidéos en LSF. </w:t>
      </w:r>
    </w:p>
    <w:p w14:paraId="50612E55" w14:textId="1524292F" w:rsidR="00117430" w:rsidRDefault="0047714F" w:rsidP="0047714F">
      <w:pPr>
        <w:tabs>
          <w:tab w:val="left" w:pos="6000"/>
        </w:tabs>
        <w:spacing w:after="0"/>
        <w:jc w:val="both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 xml:space="preserve">Le projet a été porté par Laurence Maillard </w:t>
      </w:r>
      <w:proofErr w:type="spellStart"/>
      <w:r>
        <w:rPr>
          <w:rFonts w:asciiTheme="minorHAnsi" w:eastAsia="Times New Roman" w:hAnsiTheme="minorHAnsi" w:cs="Arial"/>
          <w:lang w:eastAsia="fr-FR"/>
        </w:rPr>
        <w:t>Nourrissier</w:t>
      </w:r>
      <w:proofErr w:type="spellEnd"/>
      <w:r>
        <w:rPr>
          <w:rFonts w:asciiTheme="minorHAnsi" w:eastAsia="Times New Roman" w:hAnsiTheme="minorHAnsi" w:cs="Arial"/>
          <w:lang w:eastAsia="fr-FR"/>
        </w:rPr>
        <w:t>, référente Tourisme et Handicap au sein de Destination Saint-Malo Baie du Mont-Saint-Michel.</w:t>
      </w:r>
    </w:p>
    <w:p w14:paraId="274C9DA2" w14:textId="4148141D" w:rsidR="0047714F" w:rsidRDefault="0047714F" w:rsidP="0047714F">
      <w:pPr>
        <w:tabs>
          <w:tab w:val="left" w:pos="6000"/>
        </w:tabs>
        <w:spacing w:after="0"/>
        <w:jc w:val="both"/>
        <w:rPr>
          <w:rFonts w:asciiTheme="minorHAnsi" w:eastAsia="Times New Roman" w:hAnsiTheme="minorHAnsi" w:cs="Arial"/>
          <w:lang w:eastAsia="fr-FR"/>
        </w:rPr>
      </w:pPr>
    </w:p>
    <w:p w14:paraId="05386239" w14:textId="300AAF6E" w:rsidR="0047714F" w:rsidRDefault="0047714F" w:rsidP="0047714F">
      <w:pPr>
        <w:tabs>
          <w:tab w:val="left" w:pos="6000"/>
        </w:tabs>
        <w:spacing w:after="0"/>
        <w:jc w:val="center"/>
      </w:pPr>
      <w:r>
        <w:rPr>
          <w:rFonts w:asciiTheme="minorHAnsi" w:hAnsiTheme="minorHAnsi"/>
          <w:noProof/>
          <w:color w:val="747577"/>
          <w:sz w:val="12"/>
          <w:szCs w:val="12"/>
        </w:rPr>
        <w:drawing>
          <wp:inline distT="0" distB="0" distL="0" distR="0" wp14:anchorId="7100BA52" wp14:editId="577B4B75">
            <wp:extent cx="2286000" cy="8641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46" cy="87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8E654" w14:textId="55E966E0" w:rsidR="0047714F" w:rsidRDefault="0047714F" w:rsidP="0047714F">
      <w:pPr>
        <w:tabs>
          <w:tab w:val="left" w:pos="6000"/>
        </w:tabs>
        <w:spacing w:after="0"/>
        <w:jc w:val="center"/>
      </w:pPr>
      <w:r>
        <w:br w:type="page"/>
      </w:r>
    </w:p>
    <w:p w14:paraId="761C8F2A" w14:textId="77777777" w:rsidR="0047714F" w:rsidRDefault="0047714F" w:rsidP="0047714F">
      <w:pPr>
        <w:tabs>
          <w:tab w:val="left" w:pos="6000"/>
        </w:tabs>
        <w:spacing w:after="0"/>
        <w:jc w:val="center"/>
      </w:pPr>
    </w:p>
    <w:p w14:paraId="02E6753B" w14:textId="77777777" w:rsidR="003E019D" w:rsidRDefault="003E019D" w:rsidP="00C3037F">
      <w:pPr>
        <w:spacing w:after="0" w:line="240" w:lineRule="auto"/>
        <w:jc w:val="both"/>
      </w:pPr>
    </w:p>
    <w:p w14:paraId="06864A46" w14:textId="12ECA0E5" w:rsidR="00CC72FB" w:rsidRPr="00B67071" w:rsidRDefault="00562C29" w:rsidP="00CC72FB">
      <w:pPr>
        <w:shd w:val="clear" w:color="auto" w:fill="000000" w:themeFill="text1"/>
        <w:tabs>
          <w:tab w:val="left" w:pos="3765"/>
        </w:tabs>
        <w:spacing w:line="240" w:lineRule="auto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Les vidéos</w:t>
      </w:r>
    </w:p>
    <w:p w14:paraId="0672A960" w14:textId="7266A9BE" w:rsidR="0047714F" w:rsidRDefault="00562C29" w:rsidP="00562C29">
      <w:pPr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  <w:r w:rsidRPr="00562C29">
        <w:rPr>
          <w:rFonts w:asciiTheme="minorHAnsi" w:eastAsia="Times New Roman" w:hAnsiTheme="minorHAnsi" w:cs="Arial"/>
          <w:lang w:eastAsia="fr-FR"/>
        </w:rPr>
        <w:t>Ces mini-vidéos d’une durée s’échelonnant de 12 secondes à moins de 2 minutes</w:t>
      </w:r>
      <w:r w:rsidR="0047714F">
        <w:rPr>
          <w:rFonts w:asciiTheme="minorHAnsi" w:eastAsia="Times New Roman" w:hAnsiTheme="minorHAnsi" w:cs="Arial"/>
          <w:lang w:eastAsia="fr-FR"/>
        </w:rPr>
        <w:t xml:space="preserve"> </w:t>
      </w:r>
      <w:r w:rsidR="00D74B68" w:rsidRPr="00562C29">
        <w:rPr>
          <w:rFonts w:asciiTheme="minorHAnsi" w:eastAsia="Times New Roman" w:hAnsiTheme="minorHAnsi" w:cs="Arial"/>
          <w:lang w:eastAsia="fr-FR"/>
        </w:rPr>
        <w:t>constituent une nouvelle approche simple et très visuelle pour découvrir et visiter Saint-Malo.</w:t>
      </w:r>
    </w:p>
    <w:p w14:paraId="44B9779F" w14:textId="72B705CE" w:rsidR="0047714F" w:rsidRPr="00562C29" w:rsidRDefault="0047714F" w:rsidP="00562C29">
      <w:pPr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  <w:r>
        <w:rPr>
          <w:rFonts w:asciiTheme="minorHAnsi" w:eastAsia="Times New Roman" w:hAnsiTheme="minorHAnsi" w:cs="Arial"/>
          <w:lang w:eastAsia="fr-FR"/>
        </w:rPr>
        <w:t xml:space="preserve">Histoire des différents quartiers, </w:t>
      </w:r>
      <w:r w:rsidR="00097F9B">
        <w:rPr>
          <w:rFonts w:asciiTheme="minorHAnsi" w:eastAsia="Times New Roman" w:hAnsiTheme="minorHAnsi" w:cs="Arial"/>
          <w:lang w:eastAsia="fr-FR"/>
        </w:rPr>
        <w:t xml:space="preserve">les malouins célèbres, le </w:t>
      </w:r>
      <w:r>
        <w:rPr>
          <w:rFonts w:asciiTheme="minorHAnsi" w:eastAsia="Times New Roman" w:hAnsiTheme="minorHAnsi" w:cs="Arial"/>
          <w:lang w:eastAsia="fr-FR"/>
        </w:rPr>
        <w:t>phénomène des marées</w:t>
      </w:r>
      <w:r w:rsidR="00097F9B">
        <w:rPr>
          <w:rFonts w:asciiTheme="minorHAnsi" w:eastAsia="Times New Roman" w:hAnsiTheme="minorHAnsi" w:cs="Arial"/>
          <w:lang w:eastAsia="fr-FR"/>
        </w:rPr>
        <w:t>, les événements nautiques ou encore les hébergements et loisirs font partie des thématiques abordées.</w:t>
      </w:r>
    </w:p>
    <w:p w14:paraId="3261AF98" w14:textId="77777777" w:rsidR="00562C29" w:rsidRPr="00562C29" w:rsidRDefault="00562C29" w:rsidP="00562C29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fr-FR"/>
        </w:rPr>
      </w:pPr>
    </w:p>
    <w:p w14:paraId="689A2778" w14:textId="727E3180" w:rsidR="00562C29" w:rsidRPr="00562C29" w:rsidRDefault="0094217E" w:rsidP="00562C29">
      <w:pPr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  <w:r w:rsidRPr="00562C29">
        <w:rPr>
          <w:rFonts w:asciiTheme="minorHAnsi" w:eastAsia="Times New Roman" w:hAnsiTheme="minorHAnsi" w:cs="Arial"/>
          <w:lang w:eastAsia="fr-FR"/>
        </w:rPr>
        <w:t xml:space="preserve">Sandrine Boucherie et Sophie Garcia sont toutes deux formatrices et interprètes LSF de l’association malouine Culture Signe. </w:t>
      </w:r>
      <w:r w:rsidR="00562C29" w:rsidRPr="00562C29">
        <w:rPr>
          <w:rFonts w:asciiTheme="minorHAnsi" w:eastAsia="Times New Roman" w:hAnsiTheme="minorHAnsi" w:cs="Arial"/>
          <w:lang w:eastAsia="fr-FR"/>
        </w:rPr>
        <w:t xml:space="preserve">Présente sur toutes les vidéos, Sandrine Boucherie a traduit tous les textes fournis en Langue des Signes Française. </w:t>
      </w:r>
    </w:p>
    <w:p w14:paraId="7CE90AD8" w14:textId="77777777" w:rsidR="00562C29" w:rsidRPr="00562C29" w:rsidRDefault="00562C29" w:rsidP="00562C29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fr-FR"/>
        </w:rPr>
      </w:pPr>
    </w:p>
    <w:p w14:paraId="13520206" w14:textId="3B83AB33" w:rsidR="00562C29" w:rsidRPr="00562C29" w:rsidRDefault="00562C29" w:rsidP="00562C29">
      <w:pPr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  <w:r w:rsidRPr="00562C29">
        <w:rPr>
          <w:rFonts w:asciiTheme="minorHAnsi" w:eastAsia="Times New Roman" w:hAnsiTheme="minorHAnsi" w:cs="Arial"/>
          <w:lang w:eastAsia="fr-FR"/>
        </w:rPr>
        <w:t xml:space="preserve">Les 21 vidéos en LSF sont dorénavant en ligne sur le site Internet </w:t>
      </w:r>
      <w:hyperlink r:id="rId11" w:history="1">
        <w:r w:rsidRPr="00D74B68">
          <w:rPr>
            <w:rStyle w:val="Lienhypertexte"/>
            <w:rFonts w:asciiTheme="minorHAnsi" w:eastAsia="Times New Roman" w:hAnsiTheme="minorHAnsi" w:cs="Arial"/>
            <w:lang w:eastAsia="fr-FR"/>
          </w:rPr>
          <w:t>saint-malo-tourisme.com</w:t>
        </w:r>
      </w:hyperlink>
      <w:r w:rsidRPr="00562C29">
        <w:rPr>
          <w:rFonts w:asciiTheme="minorHAnsi" w:eastAsia="Times New Roman" w:hAnsiTheme="minorHAnsi" w:cs="Arial"/>
          <w:lang w:eastAsia="fr-FR"/>
        </w:rPr>
        <w:t xml:space="preserve">, rubrique </w:t>
      </w:r>
      <w:r w:rsidR="00D74B68">
        <w:rPr>
          <w:rFonts w:asciiTheme="minorHAnsi" w:eastAsia="Times New Roman" w:hAnsiTheme="minorHAnsi" w:cs="Arial"/>
          <w:lang w:eastAsia="fr-FR"/>
        </w:rPr>
        <w:t>« </w:t>
      </w:r>
      <w:hyperlink r:id="rId12" w:history="1">
        <w:r w:rsidRPr="00335339">
          <w:rPr>
            <w:rStyle w:val="Lienhypertexte"/>
            <w:rFonts w:asciiTheme="minorHAnsi" w:eastAsia="Times New Roman" w:hAnsiTheme="minorHAnsi" w:cs="Arial"/>
            <w:lang w:eastAsia="fr-FR"/>
          </w:rPr>
          <w:t>Tourisme accessible</w:t>
        </w:r>
        <w:r w:rsidR="00D74B68" w:rsidRPr="00335339">
          <w:rPr>
            <w:rStyle w:val="Lienhypertexte"/>
            <w:rFonts w:asciiTheme="minorHAnsi" w:eastAsia="Times New Roman" w:hAnsiTheme="minorHAnsi" w:cs="Arial"/>
            <w:lang w:eastAsia="fr-FR"/>
          </w:rPr>
          <w:t> </w:t>
        </w:r>
      </w:hyperlink>
      <w:r w:rsidR="00D74B68">
        <w:rPr>
          <w:rFonts w:asciiTheme="minorHAnsi" w:eastAsia="Times New Roman" w:hAnsiTheme="minorHAnsi" w:cs="Arial"/>
          <w:lang w:eastAsia="fr-FR"/>
        </w:rPr>
        <w:t>»</w:t>
      </w:r>
      <w:r w:rsidRPr="00562C29">
        <w:rPr>
          <w:rFonts w:asciiTheme="minorHAnsi" w:eastAsia="Times New Roman" w:hAnsiTheme="minorHAnsi" w:cs="Arial"/>
          <w:lang w:eastAsia="fr-FR"/>
        </w:rPr>
        <w:t xml:space="preserve"> et sur la </w:t>
      </w:r>
      <w:hyperlink r:id="rId13" w:history="1">
        <w:r w:rsidRPr="00335339">
          <w:rPr>
            <w:rStyle w:val="Lienhypertexte"/>
            <w:rFonts w:asciiTheme="minorHAnsi" w:eastAsia="Times New Roman" w:hAnsiTheme="minorHAnsi" w:cs="Arial"/>
            <w:lang w:eastAsia="fr-FR"/>
          </w:rPr>
          <w:t>chaîne YouTube</w:t>
        </w:r>
      </w:hyperlink>
      <w:r w:rsidRPr="00562C29">
        <w:rPr>
          <w:rFonts w:asciiTheme="minorHAnsi" w:eastAsia="Times New Roman" w:hAnsiTheme="minorHAnsi" w:cs="Arial"/>
          <w:lang w:eastAsia="fr-FR"/>
        </w:rPr>
        <w:t xml:space="preserve"> de Destination Saint-Malo du Mont-Saint-Miche</w:t>
      </w:r>
      <w:r w:rsidR="00D74B68">
        <w:rPr>
          <w:rFonts w:asciiTheme="minorHAnsi" w:eastAsia="Times New Roman" w:hAnsiTheme="minorHAnsi" w:cs="Arial"/>
          <w:lang w:eastAsia="fr-FR"/>
        </w:rPr>
        <w:t>l</w:t>
      </w:r>
      <w:r w:rsidR="0047714F">
        <w:rPr>
          <w:rFonts w:asciiTheme="minorHAnsi" w:eastAsia="Times New Roman" w:hAnsiTheme="minorHAnsi" w:cs="Arial"/>
          <w:lang w:eastAsia="fr-FR"/>
        </w:rPr>
        <w:t>.</w:t>
      </w:r>
    </w:p>
    <w:p w14:paraId="2C58D9F7" w14:textId="77777777" w:rsidR="00562C29" w:rsidRPr="00691F80" w:rsidRDefault="00562C29" w:rsidP="008269B3">
      <w:pPr>
        <w:spacing w:after="0"/>
        <w:jc w:val="both"/>
      </w:pPr>
    </w:p>
    <w:p w14:paraId="6B240846" w14:textId="605E5E10" w:rsidR="00CC739F" w:rsidRPr="00691F80" w:rsidRDefault="00CC739F" w:rsidP="00C3037F">
      <w:pPr>
        <w:spacing w:after="0" w:line="240" w:lineRule="auto"/>
        <w:jc w:val="both"/>
      </w:pPr>
    </w:p>
    <w:p w14:paraId="1F4B76BD" w14:textId="2D16EBDB" w:rsidR="00CC739F" w:rsidRPr="00691F80" w:rsidRDefault="00CC739F" w:rsidP="00C3037F">
      <w:pPr>
        <w:spacing w:after="0" w:line="240" w:lineRule="auto"/>
        <w:jc w:val="both"/>
      </w:pPr>
    </w:p>
    <w:p w14:paraId="6362F710" w14:textId="66AD1E17" w:rsidR="00CC739F" w:rsidRPr="00691F80" w:rsidRDefault="00CC739F" w:rsidP="00C3037F">
      <w:pPr>
        <w:spacing w:after="0" w:line="240" w:lineRule="auto"/>
        <w:jc w:val="both"/>
      </w:pPr>
    </w:p>
    <w:p w14:paraId="1A684D2C" w14:textId="2E654B48" w:rsidR="00CC739F" w:rsidRPr="00691F80" w:rsidRDefault="00CC739F" w:rsidP="00C3037F">
      <w:pPr>
        <w:spacing w:after="0" w:line="240" w:lineRule="auto"/>
        <w:jc w:val="both"/>
      </w:pPr>
    </w:p>
    <w:p w14:paraId="7F05C8C4" w14:textId="1BF40F93" w:rsidR="00CC739F" w:rsidRPr="00691F80" w:rsidRDefault="00CC739F" w:rsidP="00C3037F">
      <w:pPr>
        <w:spacing w:after="0" w:line="240" w:lineRule="auto"/>
        <w:jc w:val="both"/>
      </w:pPr>
    </w:p>
    <w:p w14:paraId="4349857E" w14:textId="6C34EF85" w:rsidR="00CC739F" w:rsidRPr="00691F80" w:rsidRDefault="00CC739F" w:rsidP="00C3037F">
      <w:pPr>
        <w:spacing w:after="0" w:line="240" w:lineRule="auto"/>
        <w:jc w:val="both"/>
      </w:pPr>
    </w:p>
    <w:p w14:paraId="45D5A798" w14:textId="308B49D0" w:rsidR="005D718B" w:rsidRPr="00691F80" w:rsidRDefault="005D718B" w:rsidP="00C3037F">
      <w:pPr>
        <w:spacing w:after="0" w:line="240" w:lineRule="auto"/>
        <w:jc w:val="both"/>
      </w:pPr>
    </w:p>
    <w:p w14:paraId="6A9B7100" w14:textId="684AEEEE" w:rsidR="005D718B" w:rsidRPr="00691F80" w:rsidRDefault="005D718B" w:rsidP="00C3037F">
      <w:pPr>
        <w:spacing w:after="0" w:line="240" w:lineRule="auto"/>
        <w:jc w:val="both"/>
      </w:pPr>
    </w:p>
    <w:p w14:paraId="1DBD09D0" w14:textId="782E32DF" w:rsidR="005D718B" w:rsidRPr="00691F80" w:rsidRDefault="005D718B" w:rsidP="00C3037F">
      <w:pPr>
        <w:spacing w:after="0" w:line="240" w:lineRule="auto"/>
        <w:jc w:val="both"/>
      </w:pPr>
    </w:p>
    <w:p w14:paraId="1F628BB3" w14:textId="22962114" w:rsidR="005D718B" w:rsidRPr="00691F80" w:rsidRDefault="005D718B" w:rsidP="00C3037F">
      <w:pPr>
        <w:spacing w:after="0" w:line="240" w:lineRule="auto"/>
        <w:jc w:val="both"/>
      </w:pPr>
    </w:p>
    <w:p w14:paraId="747FC7F1" w14:textId="652653EC" w:rsidR="005D718B" w:rsidRPr="00691F80" w:rsidRDefault="005D718B" w:rsidP="00C3037F">
      <w:pPr>
        <w:spacing w:after="0" w:line="240" w:lineRule="auto"/>
        <w:jc w:val="both"/>
      </w:pPr>
    </w:p>
    <w:p w14:paraId="0A6E69D1" w14:textId="2C900B15" w:rsidR="005D718B" w:rsidRPr="00691F80" w:rsidRDefault="005D718B" w:rsidP="00C3037F">
      <w:pPr>
        <w:spacing w:after="0" w:line="240" w:lineRule="auto"/>
        <w:jc w:val="both"/>
      </w:pPr>
    </w:p>
    <w:p w14:paraId="0E3E60E5" w14:textId="0A17EAE4" w:rsidR="005D718B" w:rsidRPr="00691F80" w:rsidRDefault="005D718B" w:rsidP="00C3037F">
      <w:pPr>
        <w:spacing w:after="0" w:line="240" w:lineRule="auto"/>
        <w:jc w:val="both"/>
      </w:pPr>
    </w:p>
    <w:p w14:paraId="529ADB0F" w14:textId="19D2AB10" w:rsidR="005D718B" w:rsidRPr="00691F80" w:rsidRDefault="005D718B" w:rsidP="00C3037F">
      <w:pPr>
        <w:spacing w:after="0" w:line="240" w:lineRule="auto"/>
        <w:jc w:val="both"/>
      </w:pPr>
    </w:p>
    <w:p w14:paraId="5E2FF95B" w14:textId="717E0334" w:rsidR="005D718B" w:rsidRPr="00691F80" w:rsidRDefault="005D718B" w:rsidP="00C3037F">
      <w:pPr>
        <w:spacing w:after="0" w:line="240" w:lineRule="auto"/>
        <w:jc w:val="both"/>
      </w:pPr>
    </w:p>
    <w:p w14:paraId="6167D165" w14:textId="3EA3D257" w:rsidR="00B67071" w:rsidRPr="00691F80" w:rsidRDefault="00B67071" w:rsidP="00C3037F">
      <w:pPr>
        <w:spacing w:after="0" w:line="240" w:lineRule="auto"/>
        <w:jc w:val="both"/>
      </w:pPr>
    </w:p>
    <w:p w14:paraId="4C46503B" w14:textId="1E9ABFD0" w:rsidR="00C4343E" w:rsidRPr="00691F80" w:rsidRDefault="00C4343E" w:rsidP="00640554">
      <w:pPr>
        <w:spacing w:after="0"/>
        <w:jc w:val="both"/>
        <w:rPr>
          <w:rFonts w:asciiTheme="minorHAnsi" w:eastAsia="Times New Roman" w:hAnsiTheme="minorHAnsi" w:cs="Arial"/>
          <w:lang w:eastAsia="fr-FR"/>
        </w:rPr>
      </w:pPr>
    </w:p>
    <w:p w14:paraId="2666AD66" w14:textId="61AD882A" w:rsidR="00C4343E" w:rsidRPr="00691F80" w:rsidRDefault="00C4343E" w:rsidP="00640554">
      <w:pPr>
        <w:spacing w:after="0"/>
        <w:jc w:val="both"/>
        <w:rPr>
          <w:rFonts w:asciiTheme="minorHAnsi" w:eastAsia="Times New Roman" w:hAnsiTheme="minorHAnsi" w:cs="Arial"/>
          <w:lang w:eastAsia="fr-FR"/>
        </w:rPr>
      </w:pPr>
    </w:p>
    <w:p w14:paraId="7380C9D7" w14:textId="2ECC34B1" w:rsidR="00117430" w:rsidRPr="00691F80" w:rsidRDefault="00117430" w:rsidP="00640554">
      <w:pPr>
        <w:spacing w:after="0"/>
        <w:jc w:val="both"/>
        <w:rPr>
          <w:rFonts w:asciiTheme="minorHAnsi" w:eastAsia="Times New Roman" w:hAnsiTheme="minorHAnsi" w:cs="Arial"/>
          <w:lang w:eastAsia="fr-FR"/>
        </w:rPr>
      </w:pPr>
    </w:p>
    <w:p w14:paraId="70E3A016" w14:textId="77777777" w:rsidR="001C52E8" w:rsidRPr="00691F80" w:rsidRDefault="001C52E8" w:rsidP="00640554">
      <w:pPr>
        <w:spacing w:after="0"/>
        <w:jc w:val="both"/>
        <w:rPr>
          <w:rFonts w:asciiTheme="minorHAnsi" w:eastAsia="Times New Roman" w:hAnsiTheme="minorHAnsi" w:cs="Arial"/>
          <w:lang w:eastAsia="fr-FR"/>
        </w:rPr>
      </w:pPr>
    </w:p>
    <w:sectPr w:rsidR="001C52E8" w:rsidRPr="00691F8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59E4" w14:textId="77777777" w:rsidR="00E90FDF" w:rsidRDefault="00E90FDF" w:rsidP="00152A1B">
      <w:pPr>
        <w:spacing w:after="0" w:line="240" w:lineRule="auto"/>
      </w:pPr>
      <w:r>
        <w:separator/>
      </w:r>
    </w:p>
  </w:endnote>
  <w:endnote w:type="continuationSeparator" w:id="0">
    <w:p w14:paraId="064C36C3" w14:textId="77777777" w:rsidR="00E90FDF" w:rsidRDefault="00E90FDF" w:rsidP="0015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B2AE" w14:textId="25CC88F9" w:rsidR="00341CEE" w:rsidRPr="0022292E" w:rsidRDefault="00757E97" w:rsidP="0022292E">
    <w:pPr>
      <w:pStyle w:val="Pieddepage"/>
      <w:jc w:val="right"/>
    </w:pPr>
    <w:r w:rsidRPr="0022292E">
      <w:t xml:space="preserve">   </w:t>
    </w:r>
    <w:r w:rsidR="00646B86" w:rsidRPr="00646B86">
      <w:rPr>
        <w:b/>
        <w:bCs/>
      </w:rPr>
      <w:t xml:space="preserve">DESTINATION </w:t>
    </w:r>
    <w:r w:rsidRPr="0022292E">
      <w:rPr>
        <w:b/>
      </w:rPr>
      <w:t>SAINT-MALO BAIE DU MONT-SAINT-MICHEL</w:t>
    </w:r>
  </w:p>
  <w:p w14:paraId="3B38B147" w14:textId="0F617CB5" w:rsidR="00341CEE" w:rsidRDefault="00757E97" w:rsidP="0022292E">
    <w:pPr>
      <w:pStyle w:val="Pieddepage"/>
      <w:jc w:val="right"/>
      <w:rPr>
        <w:sz w:val="20"/>
        <w:szCs w:val="20"/>
      </w:rPr>
    </w:pPr>
    <w:r w:rsidRPr="0022292E">
      <w:rPr>
        <w:sz w:val="20"/>
        <w:szCs w:val="20"/>
      </w:rPr>
      <w:t xml:space="preserve">                 </w:t>
    </w:r>
    <w:r w:rsidR="00F227E0" w:rsidRPr="00152A1B">
      <w:rPr>
        <w:b/>
        <w:color w:val="CEA161"/>
      </w:rPr>
      <w:t>Contact</w:t>
    </w:r>
    <w:r w:rsidR="00717EE3">
      <w:rPr>
        <w:b/>
        <w:sz w:val="20"/>
        <w:szCs w:val="20"/>
      </w:rPr>
      <w:t xml:space="preserve"> </w:t>
    </w:r>
    <w:r w:rsidRPr="0022292E">
      <w:rPr>
        <w:sz w:val="20"/>
        <w:szCs w:val="20"/>
      </w:rPr>
      <w:t xml:space="preserve">– </w:t>
    </w:r>
    <w:r w:rsidR="00C9354D">
      <w:rPr>
        <w:sz w:val="20"/>
        <w:szCs w:val="20"/>
      </w:rPr>
      <w:t>Lisa FONLUPT</w:t>
    </w:r>
  </w:p>
  <w:p w14:paraId="08F5B222" w14:textId="5D7D12B9" w:rsidR="00C340D7" w:rsidRPr="0022292E" w:rsidRDefault="00C9354D" w:rsidP="0022292E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presse</w:t>
    </w:r>
    <w:r w:rsidR="00757E97">
      <w:rPr>
        <w:sz w:val="20"/>
        <w:szCs w:val="20"/>
      </w:rPr>
      <w:t>@saint-malo-tourisme.com</w:t>
    </w:r>
  </w:p>
  <w:p w14:paraId="54BF84D0" w14:textId="185884C0" w:rsidR="00341CEE" w:rsidRPr="0022292E" w:rsidRDefault="00757E97" w:rsidP="0022292E">
    <w:pPr>
      <w:pStyle w:val="Pieddepage"/>
      <w:jc w:val="right"/>
      <w:rPr>
        <w:sz w:val="20"/>
        <w:szCs w:val="20"/>
      </w:rPr>
    </w:pPr>
    <w:r w:rsidRPr="0022292E">
      <w:rPr>
        <w:sz w:val="20"/>
        <w:szCs w:val="20"/>
      </w:rPr>
      <w:t xml:space="preserve">                 </w:t>
    </w:r>
    <w:r w:rsidR="00C9354D">
      <w:rPr>
        <w:sz w:val="20"/>
        <w:szCs w:val="20"/>
      </w:rPr>
      <w:t>07 64 54 5</w:t>
    </w:r>
    <w:r w:rsidR="00F4604A">
      <w:rPr>
        <w:sz w:val="20"/>
        <w:szCs w:val="20"/>
      </w:rPr>
      <w:t>3</w:t>
    </w:r>
    <w:r w:rsidR="00C9354D">
      <w:rPr>
        <w:sz w:val="20"/>
        <w:szCs w:val="20"/>
      </w:rPr>
      <w:t xml:space="preserve">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07A4" w14:textId="77777777" w:rsidR="00E90FDF" w:rsidRDefault="00E90FDF" w:rsidP="00152A1B">
      <w:pPr>
        <w:spacing w:after="0" w:line="240" w:lineRule="auto"/>
      </w:pPr>
      <w:r>
        <w:separator/>
      </w:r>
    </w:p>
  </w:footnote>
  <w:footnote w:type="continuationSeparator" w:id="0">
    <w:p w14:paraId="66CDA7D3" w14:textId="77777777" w:rsidR="00E90FDF" w:rsidRDefault="00E90FDF" w:rsidP="0015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C6CE" w14:textId="2F04A57C" w:rsidR="00CE2B08" w:rsidRPr="00B6022A" w:rsidRDefault="00F227E0" w:rsidP="00F227E0">
    <w:pPr>
      <w:spacing w:after="0"/>
      <w:ind w:left="-426" w:firstLine="426"/>
      <w:textAlignment w:val="baseline"/>
      <w:rPr>
        <w:rFonts w:asciiTheme="minorHAnsi" w:hAnsiTheme="minorHAnsi" w:cs="Arial"/>
        <w:b/>
      </w:rPr>
    </w:pPr>
    <w:r>
      <w:rPr>
        <w:rFonts w:asciiTheme="minorHAnsi" w:hAnsiTheme="minorHAnsi" w:cs="Arial"/>
        <w:bCs/>
        <w:noProof/>
        <w:sz w:val="12"/>
        <w:szCs w:val="12"/>
      </w:rPr>
      <w:drawing>
        <wp:anchor distT="0" distB="0" distL="114300" distR="114300" simplePos="0" relativeHeight="251662336" behindDoc="1" locked="0" layoutInCell="1" allowOverlap="1" wp14:anchorId="604D4416" wp14:editId="12FC8751">
          <wp:simplePos x="0" y="0"/>
          <wp:positionH relativeFrom="column">
            <wp:posOffset>-374015</wp:posOffset>
          </wp:positionH>
          <wp:positionV relativeFrom="paragraph">
            <wp:posOffset>-403860</wp:posOffset>
          </wp:positionV>
          <wp:extent cx="1912620" cy="1178560"/>
          <wp:effectExtent l="0" t="0" r="0" b="2540"/>
          <wp:wrapTight wrapText="bothSides">
            <wp:wrapPolygon edited="0">
              <wp:start x="0" y="0"/>
              <wp:lineTo x="0" y="21297"/>
              <wp:lineTo x="21299" y="21297"/>
              <wp:lineTo x="2129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22A" w:rsidRPr="00A63BFD">
      <w:rPr>
        <w:rFonts w:asciiTheme="minorHAnsi" w:hAnsiTheme="minorHAnsi" w:cstheme="minorBidi"/>
        <w:b/>
        <w:noProof/>
        <w:color w:val="2580C3"/>
        <w:sz w:val="20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655372" wp14:editId="050BC156">
              <wp:simplePos x="0" y="0"/>
              <wp:positionH relativeFrom="margin">
                <wp:posOffset>3479165</wp:posOffset>
              </wp:positionH>
              <wp:positionV relativeFrom="paragraph">
                <wp:posOffset>-193040</wp:posOffset>
              </wp:positionV>
              <wp:extent cx="2303780" cy="619760"/>
              <wp:effectExtent l="0" t="0" r="635" b="889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9C99D" w14:textId="21655B41" w:rsidR="00B6022A" w:rsidRPr="00A63BFD" w:rsidRDefault="00220DE6" w:rsidP="00335339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70C0"/>
                            </w:rPr>
                            <w:t>Communiqué de Presse</w:t>
                          </w:r>
                          <w:r w:rsidR="00B6022A" w:rsidRPr="00A63BFD">
                            <w:rPr>
                              <w:rFonts w:asciiTheme="majorHAnsi" w:hAnsiTheme="majorHAnsi"/>
                              <w:b/>
                              <w:color w:val="0070C0"/>
                            </w:rPr>
                            <w:br/>
                          </w:r>
                          <w:r w:rsidR="00335339">
                            <w:rPr>
                              <w:rFonts w:asciiTheme="majorHAnsi" w:hAnsiTheme="majorHAnsi"/>
                              <w:b/>
                              <w:color w:val="0070C0"/>
                            </w:rPr>
                            <w:t>2</w:t>
                          </w:r>
                          <w:r w:rsidR="00097F9B">
                            <w:rPr>
                              <w:rFonts w:asciiTheme="majorHAnsi" w:hAnsiTheme="majorHAnsi"/>
                              <w:b/>
                              <w:color w:val="0070C0"/>
                            </w:rPr>
                            <w:t xml:space="preserve"> mars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6553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3.95pt;margin-top:-15.2pt;width:181.4pt;height:4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" stroked="f">
              <v:textbox style="mso-fit-shape-to-text:t">
                <w:txbxContent>
                  <w:p w14:paraId="02E9C99D" w14:textId="21655B41" w:rsidR="00B6022A" w:rsidRPr="00A63BFD" w:rsidRDefault="00220DE6" w:rsidP="00335339">
                    <w:pPr>
                      <w:jc w:val="right"/>
                      <w:rPr>
                        <w:rFonts w:asciiTheme="majorHAnsi" w:hAnsiTheme="majorHAnsi"/>
                        <w:b/>
                        <w:color w:val="0070C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70C0"/>
                      </w:rPr>
                      <w:t>Communiqué de Presse</w:t>
                    </w:r>
                    <w:r w:rsidR="00B6022A" w:rsidRPr="00A63BFD">
                      <w:rPr>
                        <w:rFonts w:asciiTheme="majorHAnsi" w:hAnsiTheme="majorHAnsi"/>
                        <w:b/>
                        <w:color w:val="0070C0"/>
                      </w:rPr>
                      <w:br/>
                    </w:r>
                    <w:r w:rsidR="00335339">
                      <w:rPr>
                        <w:rFonts w:asciiTheme="majorHAnsi" w:hAnsiTheme="majorHAnsi"/>
                        <w:b/>
                        <w:color w:val="0070C0"/>
                      </w:rPr>
                      <w:t>2</w:t>
                    </w:r>
                    <w:r w:rsidR="00097F9B">
                      <w:rPr>
                        <w:rFonts w:asciiTheme="majorHAnsi" w:hAnsiTheme="majorHAnsi"/>
                        <w:b/>
                        <w:color w:val="0070C0"/>
                      </w:rPr>
                      <w:t xml:space="preserve"> mars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CE6D49B" w14:textId="2F34063C" w:rsidR="00CE2B08" w:rsidRDefault="00335339">
    <w:pPr>
      <w:pStyle w:val="En-tte"/>
    </w:pPr>
  </w:p>
  <w:p w14:paraId="164AAF88" w14:textId="4A3CB4C5" w:rsidR="00375CE7" w:rsidRDefault="00375CE7">
    <w:pPr>
      <w:pStyle w:val="En-tte"/>
    </w:pPr>
  </w:p>
  <w:p w14:paraId="15EFC488" w14:textId="2A535C84" w:rsidR="00375CE7" w:rsidRDefault="00375CE7">
    <w:pPr>
      <w:pStyle w:val="En-tte"/>
    </w:pPr>
  </w:p>
  <w:p w14:paraId="57BFD73B" w14:textId="77777777" w:rsidR="00FC16A9" w:rsidRDefault="00FC16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F3B"/>
    <w:multiLevelType w:val="hybridMultilevel"/>
    <w:tmpl w:val="8ED286F4"/>
    <w:lvl w:ilvl="0" w:tplc="66AA1D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C71AC"/>
    <w:multiLevelType w:val="hybridMultilevel"/>
    <w:tmpl w:val="15303774"/>
    <w:lvl w:ilvl="0" w:tplc="7DB86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05C6"/>
    <w:multiLevelType w:val="hybridMultilevel"/>
    <w:tmpl w:val="CF1049FA"/>
    <w:lvl w:ilvl="0" w:tplc="B5E6EC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23FC"/>
    <w:multiLevelType w:val="hybridMultilevel"/>
    <w:tmpl w:val="3ACE7F8A"/>
    <w:lvl w:ilvl="0" w:tplc="388497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82805"/>
    <w:multiLevelType w:val="hybridMultilevel"/>
    <w:tmpl w:val="3F10C16C"/>
    <w:lvl w:ilvl="0" w:tplc="C4E4F3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E7085"/>
    <w:multiLevelType w:val="hybridMultilevel"/>
    <w:tmpl w:val="7C7AFA02"/>
    <w:lvl w:ilvl="0" w:tplc="B6C677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17039"/>
    <w:multiLevelType w:val="hybridMultilevel"/>
    <w:tmpl w:val="20A815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51DC6"/>
    <w:multiLevelType w:val="hybridMultilevel"/>
    <w:tmpl w:val="EDFA55D4"/>
    <w:lvl w:ilvl="0" w:tplc="70A4CE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94BF8"/>
    <w:multiLevelType w:val="hybridMultilevel"/>
    <w:tmpl w:val="80640D2E"/>
    <w:lvl w:ilvl="0" w:tplc="CEAE71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F0B60"/>
    <w:multiLevelType w:val="hybridMultilevel"/>
    <w:tmpl w:val="31BA21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877805">
    <w:abstractNumId w:val="4"/>
  </w:num>
  <w:num w:numId="2" w16cid:durableId="303050361">
    <w:abstractNumId w:val="6"/>
  </w:num>
  <w:num w:numId="3" w16cid:durableId="40981731">
    <w:abstractNumId w:val="9"/>
  </w:num>
  <w:num w:numId="4" w16cid:durableId="1602033568">
    <w:abstractNumId w:val="0"/>
  </w:num>
  <w:num w:numId="5" w16cid:durableId="1962153475">
    <w:abstractNumId w:val="2"/>
  </w:num>
  <w:num w:numId="6" w16cid:durableId="479225716">
    <w:abstractNumId w:val="7"/>
  </w:num>
  <w:num w:numId="7" w16cid:durableId="1476796596">
    <w:abstractNumId w:val="5"/>
  </w:num>
  <w:num w:numId="8" w16cid:durableId="1818375155">
    <w:abstractNumId w:val="8"/>
  </w:num>
  <w:num w:numId="9" w16cid:durableId="1099178172">
    <w:abstractNumId w:val="1"/>
  </w:num>
  <w:num w:numId="10" w16cid:durableId="184713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B2"/>
    <w:rsid w:val="00006353"/>
    <w:rsid w:val="00017790"/>
    <w:rsid w:val="000318ED"/>
    <w:rsid w:val="00047CDD"/>
    <w:rsid w:val="00056E33"/>
    <w:rsid w:val="00056F07"/>
    <w:rsid w:val="0006396D"/>
    <w:rsid w:val="00080CF1"/>
    <w:rsid w:val="00086CCD"/>
    <w:rsid w:val="00087A81"/>
    <w:rsid w:val="00091F2D"/>
    <w:rsid w:val="00097F9B"/>
    <w:rsid w:val="000A56AC"/>
    <w:rsid w:val="000A6B4A"/>
    <w:rsid w:val="000B781B"/>
    <w:rsid w:val="000C23CE"/>
    <w:rsid w:val="000C4F5B"/>
    <w:rsid w:val="000D0F6A"/>
    <w:rsid w:val="000D350C"/>
    <w:rsid w:val="000D5387"/>
    <w:rsid w:val="000E0018"/>
    <w:rsid w:val="000F019A"/>
    <w:rsid w:val="00100351"/>
    <w:rsid w:val="0010520F"/>
    <w:rsid w:val="00105289"/>
    <w:rsid w:val="00110DE3"/>
    <w:rsid w:val="001131D3"/>
    <w:rsid w:val="00113470"/>
    <w:rsid w:val="00115B6A"/>
    <w:rsid w:val="00117430"/>
    <w:rsid w:val="001238B0"/>
    <w:rsid w:val="00123FFF"/>
    <w:rsid w:val="00132762"/>
    <w:rsid w:val="00152A1B"/>
    <w:rsid w:val="00152E87"/>
    <w:rsid w:val="001567B5"/>
    <w:rsid w:val="001629B6"/>
    <w:rsid w:val="0018013D"/>
    <w:rsid w:val="00191872"/>
    <w:rsid w:val="001B5973"/>
    <w:rsid w:val="001C043B"/>
    <w:rsid w:val="001C087F"/>
    <w:rsid w:val="001C52E8"/>
    <w:rsid w:val="001D2D73"/>
    <w:rsid w:val="001E4752"/>
    <w:rsid w:val="001F1DCA"/>
    <w:rsid w:val="001F5DBC"/>
    <w:rsid w:val="00200C60"/>
    <w:rsid w:val="002159F0"/>
    <w:rsid w:val="00220DE6"/>
    <w:rsid w:val="00225453"/>
    <w:rsid w:val="00227216"/>
    <w:rsid w:val="002324CC"/>
    <w:rsid w:val="0025636A"/>
    <w:rsid w:val="00261C23"/>
    <w:rsid w:val="00264D56"/>
    <w:rsid w:val="00281D00"/>
    <w:rsid w:val="002A4E6D"/>
    <w:rsid w:val="002B02C1"/>
    <w:rsid w:val="002B1A52"/>
    <w:rsid w:val="002B2C46"/>
    <w:rsid w:val="002B3167"/>
    <w:rsid w:val="002B3B9D"/>
    <w:rsid w:val="002B76EF"/>
    <w:rsid w:val="002C1B5B"/>
    <w:rsid w:val="002C3FED"/>
    <w:rsid w:val="002E7B69"/>
    <w:rsid w:val="002F038F"/>
    <w:rsid w:val="002F21E8"/>
    <w:rsid w:val="002F223B"/>
    <w:rsid w:val="002F45C5"/>
    <w:rsid w:val="002F4D67"/>
    <w:rsid w:val="003004B2"/>
    <w:rsid w:val="003059C3"/>
    <w:rsid w:val="00335339"/>
    <w:rsid w:val="003378A9"/>
    <w:rsid w:val="00343C3A"/>
    <w:rsid w:val="00354215"/>
    <w:rsid w:val="003579F6"/>
    <w:rsid w:val="003604A2"/>
    <w:rsid w:val="0036075B"/>
    <w:rsid w:val="00360B12"/>
    <w:rsid w:val="0036190E"/>
    <w:rsid w:val="003632FD"/>
    <w:rsid w:val="00363C65"/>
    <w:rsid w:val="00364368"/>
    <w:rsid w:val="00367D68"/>
    <w:rsid w:val="003733DC"/>
    <w:rsid w:val="00375CE7"/>
    <w:rsid w:val="003809E0"/>
    <w:rsid w:val="00382444"/>
    <w:rsid w:val="00395922"/>
    <w:rsid w:val="003A1D49"/>
    <w:rsid w:val="003A219E"/>
    <w:rsid w:val="003A58E1"/>
    <w:rsid w:val="003B0CB6"/>
    <w:rsid w:val="003B5928"/>
    <w:rsid w:val="003D0800"/>
    <w:rsid w:val="003D18BA"/>
    <w:rsid w:val="003D6A0A"/>
    <w:rsid w:val="003E019D"/>
    <w:rsid w:val="003E4349"/>
    <w:rsid w:val="003E6079"/>
    <w:rsid w:val="003F75A2"/>
    <w:rsid w:val="00402BA1"/>
    <w:rsid w:val="00404129"/>
    <w:rsid w:val="00405FF8"/>
    <w:rsid w:val="00410FDD"/>
    <w:rsid w:val="00424884"/>
    <w:rsid w:val="00445285"/>
    <w:rsid w:val="00462721"/>
    <w:rsid w:val="0046413B"/>
    <w:rsid w:val="00466872"/>
    <w:rsid w:val="00467A18"/>
    <w:rsid w:val="00472735"/>
    <w:rsid w:val="0047714F"/>
    <w:rsid w:val="0049291F"/>
    <w:rsid w:val="004A07F9"/>
    <w:rsid w:val="004A1EDB"/>
    <w:rsid w:val="004A257E"/>
    <w:rsid w:val="004A518B"/>
    <w:rsid w:val="004A610E"/>
    <w:rsid w:val="004A7CF8"/>
    <w:rsid w:val="004B5810"/>
    <w:rsid w:val="004C41FF"/>
    <w:rsid w:val="004D3C87"/>
    <w:rsid w:val="004D74AB"/>
    <w:rsid w:val="004E21D7"/>
    <w:rsid w:val="004E4BD3"/>
    <w:rsid w:val="004E7935"/>
    <w:rsid w:val="004F0D8B"/>
    <w:rsid w:val="004F0E11"/>
    <w:rsid w:val="004F1004"/>
    <w:rsid w:val="004F3988"/>
    <w:rsid w:val="004F5616"/>
    <w:rsid w:val="0051103D"/>
    <w:rsid w:val="00524A15"/>
    <w:rsid w:val="00543CBC"/>
    <w:rsid w:val="005516A2"/>
    <w:rsid w:val="00552C19"/>
    <w:rsid w:val="00554F68"/>
    <w:rsid w:val="00556AB2"/>
    <w:rsid w:val="00562C29"/>
    <w:rsid w:val="00567336"/>
    <w:rsid w:val="0057120D"/>
    <w:rsid w:val="005743EE"/>
    <w:rsid w:val="00580327"/>
    <w:rsid w:val="00582249"/>
    <w:rsid w:val="005B346C"/>
    <w:rsid w:val="005C39B8"/>
    <w:rsid w:val="005D1294"/>
    <w:rsid w:val="005D718B"/>
    <w:rsid w:val="005E1720"/>
    <w:rsid w:val="006053B8"/>
    <w:rsid w:val="00613CE5"/>
    <w:rsid w:val="00616796"/>
    <w:rsid w:val="00616A00"/>
    <w:rsid w:val="006263A6"/>
    <w:rsid w:val="006278B6"/>
    <w:rsid w:val="00640554"/>
    <w:rsid w:val="00642E12"/>
    <w:rsid w:val="006456C2"/>
    <w:rsid w:val="00646B86"/>
    <w:rsid w:val="00656C72"/>
    <w:rsid w:val="00671418"/>
    <w:rsid w:val="00691F80"/>
    <w:rsid w:val="0069280E"/>
    <w:rsid w:val="00696531"/>
    <w:rsid w:val="0069690C"/>
    <w:rsid w:val="0069728B"/>
    <w:rsid w:val="00697525"/>
    <w:rsid w:val="006A1164"/>
    <w:rsid w:val="006A3381"/>
    <w:rsid w:val="006C20CC"/>
    <w:rsid w:val="006C28B4"/>
    <w:rsid w:val="006C34B7"/>
    <w:rsid w:val="006E0FA9"/>
    <w:rsid w:val="006F27D7"/>
    <w:rsid w:val="00712EC3"/>
    <w:rsid w:val="007136C8"/>
    <w:rsid w:val="00717055"/>
    <w:rsid w:val="00717EE3"/>
    <w:rsid w:val="00722467"/>
    <w:rsid w:val="007365AB"/>
    <w:rsid w:val="007450F9"/>
    <w:rsid w:val="00750874"/>
    <w:rsid w:val="007519D7"/>
    <w:rsid w:val="0075204A"/>
    <w:rsid w:val="007540F4"/>
    <w:rsid w:val="0075773B"/>
    <w:rsid w:val="00757E97"/>
    <w:rsid w:val="00770C30"/>
    <w:rsid w:val="00773F83"/>
    <w:rsid w:val="0077412C"/>
    <w:rsid w:val="007847EA"/>
    <w:rsid w:val="0078481B"/>
    <w:rsid w:val="00784832"/>
    <w:rsid w:val="00785D4C"/>
    <w:rsid w:val="007B2F58"/>
    <w:rsid w:val="007C0CB4"/>
    <w:rsid w:val="007C2110"/>
    <w:rsid w:val="007D0413"/>
    <w:rsid w:val="007D4904"/>
    <w:rsid w:val="007F025D"/>
    <w:rsid w:val="007F54ED"/>
    <w:rsid w:val="008065FE"/>
    <w:rsid w:val="00820050"/>
    <w:rsid w:val="008269B3"/>
    <w:rsid w:val="00852A77"/>
    <w:rsid w:val="00866E24"/>
    <w:rsid w:val="00871B93"/>
    <w:rsid w:val="00871F8E"/>
    <w:rsid w:val="008762DD"/>
    <w:rsid w:val="00877475"/>
    <w:rsid w:val="008800BA"/>
    <w:rsid w:val="0088338F"/>
    <w:rsid w:val="00883BE9"/>
    <w:rsid w:val="0088459D"/>
    <w:rsid w:val="00885A31"/>
    <w:rsid w:val="00886E2A"/>
    <w:rsid w:val="0089095F"/>
    <w:rsid w:val="00893A47"/>
    <w:rsid w:val="008A1249"/>
    <w:rsid w:val="008A266A"/>
    <w:rsid w:val="008A32F9"/>
    <w:rsid w:val="008A5C35"/>
    <w:rsid w:val="008B0E86"/>
    <w:rsid w:val="008B10C3"/>
    <w:rsid w:val="008B1314"/>
    <w:rsid w:val="008B44CD"/>
    <w:rsid w:val="008C39E5"/>
    <w:rsid w:val="008C72DA"/>
    <w:rsid w:val="008D3FD4"/>
    <w:rsid w:val="008E17D4"/>
    <w:rsid w:val="008F04F6"/>
    <w:rsid w:val="008F47D6"/>
    <w:rsid w:val="009107C4"/>
    <w:rsid w:val="009107EB"/>
    <w:rsid w:val="00922F7E"/>
    <w:rsid w:val="009364B6"/>
    <w:rsid w:val="0094217E"/>
    <w:rsid w:val="00984E52"/>
    <w:rsid w:val="00987F36"/>
    <w:rsid w:val="009A1184"/>
    <w:rsid w:val="009B45D7"/>
    <w:rsid w:val="009C0503"/>
    <w:rsid w:val="009D304C"/>
    <w:rsid w:val="009E47C0"/>
    <w:rsid w:val="009E51D9"/>
    <w:rsid w:val="00A01508"/>
    <w:rsid w:val="00A03D99"/>
    <w:rsid w:val="00A1112D"/>
    <w:rsid w:val="00A14943"/>
    <w:rsid w:val="00A1582E"/>
    <w:rsid w:val="00A3430D"/>
    <w:rsid w:val="00A34C00"/>
    <w:rsid w:val="00A41DE7"/>
    <w:rsid w:val="00A53513"/>
    <w:rsid w:val="00A53797"/>
    <w:rsid w:val="00A5706C"/>
    <w:rsid w:val="00A6464B"/>
    <w:rsid w:val="00A722AF"/>
    <w:rsid w:val="00A72EC1"/>
    <w:rsid w:val="00A7416D"/>
    <w:rsid w:val="00A7551A"/>
    <w:rsid w:val="00A80C55"/>
    <w:rsid w:val="00A91F41"/>
    <w:rsid w:val="00A967D7"/>
    <w:rsid w:val="00AB0D0B"/>
    <w:rsid w:val="00AB3D1C"/>
    <w:rsid w:val="00AB5697"/>
    <w:rsid w:val="00AC2708"/>
    <w:rsid w:val="00AD4725"/>
    <w:rsid w:val="00AD5441"/>
    <w:rsid w:val="00AE12DA"/>
    <w:rsid w:val="00AE192B"/>
    <w:rsid w:val="00AE63D4"/>
    <w:rsid w:val="00AE78A7"/>
    <w:rsid w:val="00AF05E5"/>
    <w:rsid w:val="00B03045"/>
    <w:rsid w:val="00B034E9"/>
    <w:rsid w:val="00B17B22"/>
    <w:rsid w:val="00B17D59"/>
    <w:rsid w:val="00B22ED0"/>
    <w:rsid w:val="00B45655"/>
    <w:rsid w:val="00B50B13"/>
    <w:rsid w:val="00B50EE9"/>
    <w:rsid w:val="00B571EA"/>
    <w:rsid w:val="00B6022A"/>
    <w:rsid w:val="00B60A7A"/>
    <w:rsid w:val="00B666BD"/>
    <w:rsid w:val="00B67071"/>
    <w:rsid w:val="00B81DC5"/>
    <w:rsid w:val="00B8283A"/>
    <w:rsid w:val="00B86F02"/>
    <w:rsid w:val="00B91473"/>
    <w:rsid w:val="00B930A2"/>
    <w:rsid w:val="00B93B78"/>
    <w:rsid w:val="00B95425"/>
    <w:rsid w:val="00BA32F7"/>
    <w:rsid w:val="00BB667A"/>
    <w:rsid w:val="00BC4811"/>
    <w:rsid w:val="00BC71F9"/>
    <w:rsid w:val="00BC7DB0"/>
    <w:rsid w:val="00BD40EB"/>
    <w:rsid w:val="00BD5532"/>
    <w:rsid w:val="00BD5B3A"/>
    <w:rsid w:val="00BD7BD7"/>
    <w:rsid w:val="00BE5816"/>
    <w:rsid w:val="00C00DA7"/>
    <w:rsid w:val="00C01820"/>
    <w:rsid w:val="00C029DE"/>
    <w:rsid w:val="00C136D8"/>
    <w:rsid w:val="00C3037F"/>
    <w:rsid w:val="00C338CF"/>
    <w:rsid w:val="00C33C03"/>
    <w:rsid w:val="00C4007A"/>
    <w:rsid w:val="00C4177E"/>
    <w:rsid w:val="00C4340E"/>
    <w:rsid w:val="00C4343E"/>
    <w:rsid w:val="00C44EEC"/>
    <w:rsid w:val="00C51827"/>
    <w:rsid w:val="00C54321"/>
    <w:rsid w:val="00C56FAB"/>
    <w:rsid w:val="00C642A1"/>
    <w:rsid w:val="00C64CDF"/>
    <w:rsid w:val="00C70788"/>
    <w:rsid w:val="00C753A1"/>
    <w:rsid w:val="00C8135C"/>
    <w:rsid w:val="00C81B74"/>
    <w:rsid w:val="00C82886"/>
    <w:rsid w:val="00C83C97"/>
    <w:rsid w:val="00C86224"/>
    <w:rsid w:val="00C86C7C"/>
    <w:rsid w:val="00C9354D"/>
    <w:rsid w:val="00CA48EA"/>
    <w:rsid w:val="00CA594B"/>
    <w:rsid w:val="00CC2F29"/>
    <w:rsid w:val="00CC625A"/>
    <w:rsid w:val="00CC72FB"/>
    <w:rsid w:val="00CC739F"/>
    <w:rsid w:val="00CE2B0C"/>
    <w:rsid w:val="00CE7093"/>
    <w:rsid w:val="00CF333C"/>
    <w:rsid w:val="00CF6BB6"/>
    <w:rsid w:val="00D14ED8"/>
    <w:rsid w:val="00D45CF0"/>
    <w:rsid w:val="00D5299B"/>
    <w:rsid w:val="00D54F08"/>
    <w:rsid w:val="00D60ED6"/>
    <w:rsid w:val="00D67AA1"/>
    <w:rsid w:val="00D7398B"/>
    <w:rsid w:val="00D743AC"/>
    <w:rsid w:val="00D74B68"/>
    <w:rsid w:val="00D76C8D"/>
    <w:rsid w:val="00D876D6"/>
    <w:rsid w:val="00D87CF1"/>
    <w:rsid w:val="00DC2A39"/>
    <w:rsid w:val="00DC6C2A"/>
    <w:rsid w:val="00DD687E"/>
    <w:rsid w:val="00DD7D95"/>
    <w:rsid w:val="00DE032D"/>
    <w:rsid w:val="00DE2297"/>
    <w:rsid w:val="00DF48D8"/>
    <w:rsid w:val="00DF527D"/>
    <w:rsid w:val="00E04F1E"/>
    <w:rsid w:val="00E062E2"/>
    <w:rsid w:val="00E079FC"/>
    <w:rsid w:val="00E22639"/>
    <w:rsid w:val="00E31774"/>
    <w:rsid w:val="00E42DA2"/>
    <w:rsid w:val="00E4411A"/>
    <w:rsid w:val="00E4793C"/>
    <w:rsid w:val="00E523DE"/>
    <w:rsid w:val="00E53D72"/>
    <w:rsid w:val="00E544C1"/>
    <w:rsid w:val="00E56C29"/>
    <w:rsid w:val="00E6124F"/>
    <w:rsid w:val="00E616A5"/>
    <w:rsid w:val="00E61A37"/>
    <w:rsid w:val="00E72FCF"/>
    <w:rsid w:val="00E74713"/>
    <w:rsid w:val="00E81EAB"/>
    <w:rsid w:val="00E84C6B"/>
    <w:rsid w:val="00E86251"/>
    <w:rsid w:val="00E86D97"/>
    <w:rsid w:val="00E90FDF"/>
    <w:rsid w:val="00EA43BB"/>
    <w:rsid w:val="00EA537F"/>
    <w:rsid w:val="00EA5A1F"/>
    <w:rsid w:val="00EB1000"/>
    <w:rsid w:val="00EB645A"/>
    <w:rsid w:val="00EC0B88"/>
    <w:rsid w:val="00ED06D1"/>
    <w:rsid w:val="00ED083C"/>
    <w:rsid w:val="00ED0E41"/>
    <w:rsid w:val="00EE275E"/>
    <w:rsid w:val="00EE6E66"/>
    <w:rsid w:val="00EF0620"/>
    <w:rsid w:val="00EF4561"/>
    <w:rsid w:val="00F20EF4"/>
    <w:rsid w:val="00F227E0"/>
    <w:rsid w:val="00F24377"/>
    <w:rsid w:val="00F3135E"/>
    <w:rsid w:val="00F343E1"/>
    <w:rsid w:val="00F37764"/>
    <w:rsid w:val="00F4604A"/>
    <w:rsid w:val="00F77DE7"/>
    <w:rsid w:val="00F949C6"/>
    <w:rsid w:val="00F97D4F"/>
    <w:rsid w:val="00FA3D01"/>
    <w:rsid w:val="00FA4AB4"/>
    <w:rsid w:val="00FB57A4"/>
    <w:rsid w:val="00FC16A9"/>
    <w:rsid w:val="00FD0D93"/>
    <w:rsid w:val="00FD6131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2EB50F"/>
  <w15:chartTrackingRefBased/>
  <w15:docId w15:val="{65142275-591E-492E-A9C7-06C02384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AB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AB2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152A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71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167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18B"/>
    <w:rPr>
      <w:rFonts w:ascii="Segoe UI" w:eastAsia="Calibr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7471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7471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043B"/>
    <w:rPr>
      <w:b/>
      <w:b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8625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D74B6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D74B68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@saint-malobaiedumont-saint9825/vide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int-malo-tourisme.com/poser-ses-valises/tourisme-accessible/a-saint-mal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int-malo-tourism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9DAE-178B-417F-AA7D-578943BF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web3@splsaintmalo.onmicrosoft.com</cp:lastModifiedBy>
  <cp:revision>12</cp:revision>
  <cp:lastPrinted>2020-01-20T16:59:00Z</cp:lastPrinted>
  <dcterms:created xsi:type="dcterms:W3CDTF">2020-01-30T13:27:00Z</dcterms:created>
  <dcterms:modified xsi:type="dcterms:W3CDTF">2023-03-02T08:07:00Z</dcterms:modified>
</cp:coreProperties>
</file>